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33" w:rsidRPr="007C4E28" w:rsidRDefault="00634C77" w:rsidP="00634C77">
      <w:pPr>
        <w:jc w:val="center"/>
        <w:rPr>
          <w:rFonts w:ascii="Lucida Calligraphy" w:hAnsi="Lucida Calligraphy"/>
          <w:sz w:val="36"/>
          <w:szCs w:val="36"/>
        </w:rPr>
      </w:pPr>
      <w:bookmarkStart w:id="0" w:name="_GoBack"/>
      <w:bookmarkEnd w:id="0"/>
      <w:proofErr w:type="gramStart"/>
      <w:r w:rsidRPr="007C4E28">
        <w:rPr>
          <w:rFonts w:ascii="Lucida Calligraphy" w:hAnsi="Lucida Calligraphy"/>
          <w:sz w:val="36"/>
          <w:szCs w:val="36"/>
        </w:rPr>
        <w:t>Our Lady of Victories G.N.S.</w:t>
      </w:r>
      <w:proofErr w:type="gramEnd"/>
    </w:p>
    <w:p w:rsidR="00634C77" w:rsidRPr="007C4E28" w:rsidRDefault="00634C77" w:rsidP="00634C77">
      <w:pPr>
        <w:jc w:val="center"/>
        <w:rPr>
          <w:rFonts w:ascii="Lucida Calligraphy" w:hAnsi="Lucida Calligraphy"/>
          <w:sz w:val="36"/>
          <w:szCs w:val="36"/>
        </w:rPr>
      </w:pPr>
      <w:proofErr w:type="spellStart"/>
      <w:r w:rsidRPr="007C4E28">
        <w:rPr>
          <w:rFonts w:ascii="Lucida Calligraphy" w:hAnsi="Lucida Calligraphy"/>
          <w:sz w:val="36"/>
          <w:szCs w:val="36"/>
        </w:rPr>
        <w:t>Ballymun</w:t>
      </w:r>
      <w:proofErr w:type="spellEnd"/>
      <w:r w:rsidRPr="007C4E28">
        <w:rPr>
          <w:rFonts w:ascii="Lucida Calligraphy" w:hAnsi="Lucida Calligraphy"/>
          <w:sz w:val="36"/>
          <w:szCs w:val="36"/>
        </w:rPr>
        <w:t xml:space="preserve"> Road</w:t>
      </w:r>
    </w:p>
    <w:p w:rsidR="00634C77" w:rsidRPr="007C4E28" w:rsidRDefault="00634C77" w:rsidP="00634C77">
      <w:pPr>
        <w:jc w:val="center"/>
        <w:rPr>
          <w:rFonts w:ascii="Lucida Calligraphy" w:hAnsi="Lucida Calligraphy"/>
          <w:sz w:val="36"/>
          <w:szCs w:val="36"/>
        </w:rPr>
      </w:pPr>
      <w:r w:rsidRPr="007C4E28">
        <w:rPr>
          <w:rFonts w:ascii="Lucida Calligraphy" w:hAnsi="Lucida Calligraphy"/>
          <w:sz w:val="36"/>
          <w:szCs w:val="36"/>
        </w:rPr>
        <w:t>Dublin 9</w:t>
      </w:r>
    </w:p>
    <w:p w:rsidR="00634C77" w:rsidRPr="007C4E28" w:rsidRDefault="00634C77" w:rsidP="00634C77">
      <w:pPr>
        <w:jc w:val="center"/>
        <w:rPr>
          <w:rFonts w:ascii="Lucida Calligraphy" w:hAnsi="Lucida Calligraphy"/>
          <w:sz w:val="36"/>
          <w:szCs w:val="36"/>
        </w:rPr>
      </w:pPr>
      <w:r w:rsidRPr="007C4E28">
        <w:rPr>
          <w:rFonts w:ascii="Lucida Calligraphy" w:hAnsi="Lucida Calligraphy"/>
          <w:sz w:val="36"/>
          <w:szCs w:val="36"/>
        </w:rPr>
        <w:t>18911R</w:t>
      </w:r>
    </w:p>
    <w:p w:rsidR="00634C77" w:rsidRPr="006E723F" w:rsidRDefault="00634C77" w:rsidP="00634C77">
      <w:pPr>
        <w:jc w:val="center"/>
        <w:rPr>
          <w:sz w:val="32"/>
          <w:szCs w:val="32"/>
        </w:rPr>
      </w:pPr>
    </w:p>
    <w:p w:rsidR="00634C77" w:rsidRPr="007C4E28" w:rsidRDefault="00634C77" w:rsidP="00634C77">
      <w:pPr>
        <w:jc w:val="center"/>
        <w:rPr>
          <w:rFonts w:ascii="Times New Roman" w:hAnsi="Times New Roman" w:cs="Times New Roman"/>
          <w:sz w:val="44"/>
          <w:szCs w:val="44"/>
        </w:rPr>
      </w:pPr>
      <w:r w:rsidRPr="007C4E28">
        <w:rPr>
          <w:rFonts w:ascii="Times New Roman" w:hAnsi="Times New Roman" w:cs="Times New Roman"/>
          <w:sz w:val="44"/>
          <w:szCs w:val="44"/>
        </w:rPr>
        <w:t>School Self Evaluation Report</w:t>
      </w:r>
    </w:p>
    <w:p w:rsidR="006E723F" w:rsidRPr="007C4E28" w:rsidRDefault="006E723F" w:rsidP="006E723F">
      <w:pPr>
        <w:jc w:val="center"/>
        <w:rPr>
          <w:rFonts w:ascii="Times New Roman" w:hAnsi="Times New Roman" w:cs="Times New Roman"/>
          <w:sz w:val="44"/>
          <w:szCs w:val="44"/>
        </w:rPr>
      </w:pPr>
      <w:r w:rsidRPr="007C4E28">
        <w:rPr>
          <w:rFonts w:ascii="Times New Roman" w:hAnsi="Times New Roman" w:cs="Times New Roman"/>
          <w:sz w:val="44"/>
          <w:szCs w:val="44"/>
        </w:rPr>
        <w:t>Report issue Date: June 2015</w:t>
      </w:r>
    </w:p>
    <w:p w:rsidR="006E723F" w:rsidRDefault="006E723F" w:rsidP="00634C77">
      <w:pPr>
        <w:jc w:val="center"/>
      </w:pPr>
    </w:p>
    <w:p w:rsidR="00634C77" w:rsidRDefault="006E723F" w:rsidP="00634C77">
      <w:pPr>
        <w:jc w:val="center"/>
      </w:pPr>
      <w:r>
        <w:rPr>
          <w:noProof/>
        </w:rPr>
        <w:drawing>
          <wp:inline distT="0" distB="0" distL="0" distR="0">
            <wp:extent cx="4010025" cy="4152900"/>
            <wp:effectExtent l="1905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C77" w:rsidRDefault="00634C77" w:rsidP="00634C77">
      <w:pPr>
        <w:jc w:val="center"/>
      </w:pPr>
    </w:p>
    <w:p w:rsidR="00634C77" w:rsidRDefault="00634C77">
      <w:r>
        <w:br w:type="page"/>
      </w:r>
    </w:p>
    <w:p w:rsidR="00634C77" w:rsidRPr="006E723F" w:rsidRDefault="00634C77" w:rsidP="006E723F">
      <w:pPr>
        <w:jc w:val="center"/>
        <w:rPr>
          <w:color w:val="FF0000"/>
          <w:sz w:val="28"/>
          <w:szCs w:val="28"/>
        </w:rPr>
      </w:pPr>
      <w:r w:rsidRPr="006E723F">
        <w:rPr>
          <w:color w:val="FF0000"/>
          <w:sz w:val="28"/>
          <w:szCs w:val="28"/>
        </w:rPr>
        <w:lastRenderedPageBreak/>
        <w:t>School Self Evaluation Report 2014/2015</w:t>
      </w:r>
    </w:p>
    <w:p w:rsidR="00634C77" w:rsidRDefault="00634C77" w:rsidP="00634C77"/>
    <w:p w:rsidR="00634C77" w:rsidRPr="006E723F" w:rsidRDefault="00634C77" w:rsidP="00634C7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6E723F">
        <w:rPr>
          <w:b/>
          <w:color w:val="0070C0"/>
        </w:rPr>
        <w:t>Introduction – The Focus of the evaluation</w:t>
      </w:r>
    </w:p>
    <w:p w:rsidR="00634C77" w:rsidRDefault="00634C77" w:rsidP="00634C77"/>
    <w:p w:rsidR="00634C77" w:rsidRDefault="00634C77" w:rsidP="00634C77">
      <w:r>
        <w:t>A school self evaluation of teaching and learning in Mathematics was undertaken by Our Lady of Victories GNS during the 2014/2015 school year.</w:t>
      </w:r>
    </w:p>
    <w:p w:rsidR="00634C77" w:rsidRDefault="00634C77" w:rsidP="00634C77"/>
    <w:p w:rsidR="00634C77" w:rsidRPr="006E723F" w:rsidRDefault="00634C77" w:rsidP="00634C77">
      <w:r w:rsidRPr="006E723F">
        <w:t>This is the report of the findings of the evaluation:</w:t>
      </w:r>
    </w:p>
    <w:p w:rsidR="00634C77" w:rsidRPr="00634C77" w:rsidRDefault="00634C77" w:rsidP="00634C77">
      <w:pPr>
        <w:pStyle w:val="ListParagraph"/>
        <w:numPr>
          <w:ilvl w:val="1"/>
          <w:numId w:val="1"/>
        </w:numPr>
        <w:rPr>
          <w:b/>
        </w:rPr>
      </w:pPr>
      <w:r w:rsidRPr="00634C77">
        <w:rPr>
          <w:b/>
        </w:rPr>
        <w:t>School Context</w:t>
      </w:r>
    </w:p>
    <w:p w:rsidR="00634C77" w:rsidRDefault="00634C77" w:rsidP="00634C77">
      <w:pPr>
        <w:pStyle w:val="ListParagraph"/>
        <w:numPr>
          <w:ilvl w:val="0"/>
          <w:numId w:val="2"/>
        </w:numPr>
      </w:pPr>
      <w:r>
        <w:t>This is a DEIS band 1 school.</w:t>
      </w:r>
    </w:p>
    <w:p w:rsidR="00634C77" w:rsidRDefault="00DE53E4" w:rsidP="00634C77">
      <w:pPr>
        <w:pStyle w:val="ListParagraph"/>
        <w:numPr>
          <w:ilvl w:val="0"/>
          <w:numId w:val="2"/>
        </w:numPr>
      </w:pPr>
      <w:r>
        <w:t xml:space="preserve">This is </w:t>
      </w:r>
      <w:r w:rsidR="00634C77">
        <w:t>a vertical girls</w:t>
      </w:r>
      <w:r w:rsidR="006E723F">
        <w:t>’</w:t>
      </w:r>
      <w:r w:rsidR="00634C77">
        <w:t xml:space="preserve"> primary school with classes from 2</w:t>
      </w:r>
      <w:r w:rsidR="00634C77" w:rsidRPr="00634C77">
        <w:rPr>
          <w:vertAlign w:val="superscript"/>
        </w:rPr>
        <w:t>nd</w:t>
      </w:r>
      <w:r w:rsidR="00634C77">
        <w:t xml:space="preserve"> to 6</w:t>
      </w:r>
      <w:r w:rsidR="00634C77" w:rsidRPr="00634C77">
        <w:rPr>
          <w:vertAlign w:val="superscript"/>
        </w:rPr>
        <w:t>th</w:t>
      </w:r>
      <w:r w:rsidR="00634C77">
        <w:t>.</w:t>
      </w:r>
    </w:p>
    <w:p w:rsidR="00634C77" w:rsidRDefault="007C4E28" w:rsidP="00634C77">
      <w:pPr>
        <w:pStyle w:val="ListParagraph"/>
        <w:numPr>
          <w:ilvl w:val="0"/>
          <w:numId w:val="2"/>
        </w:numPr>
      </w:pPr>
      <w:r>
        <w:t>There are currently 164</w:t>
      </w:r>
      <w:r w:rsidR="00634C77">
        <w:t xml:space="preserve"> pupils.</w:t>
      </w:r>
    </w:p>
    <w:p w:rsidR="00634C77" w:rsidRDefault="00634C77" w:rsidP="00634C77">
      <w:pPr>
        <w:pStyle w:val="ListParagraph"/>
        <w:numPr>
          <w:ilvl w:val="0"/>
          <w:numId w:val="2"/>
        </w:numPr>
      </w:pPr>
      <w:r>
        <w:t>The staff comprises of 8 mainstream classroom teachers, 3</w:t>
      </w:r>
      <w:r w:rsidR="00900DC0">
        <w:t xml:space="preserve"> learning support teachers, 1 </w:t>
      </w:r>
      <w:r>
        <w:t>resource teacher and an administrative principal.</w:t>
      </w:r>
      <w:r w:rsidR="007C4E28">
        <w:t xml:space="preserve"> There are 1.5 Special Needs Assistants. </w:t>
      </w:r>
    </w:p>
    <w:p w:rsidR="00634C77" w:rsidRPr="00634C77" w:rsidRDefault="00634C77" w:rsidP="00634C77">
      <w:pPr>
        <w:rPr>
          <w:b/>
        </w:rPr>
      </w:pPr>
    </w:p>
    <w:p w:rsidR="00634C77" w:rsidRPr="006E723F" w:rsidRDefault="00634C77" w:rsidP="00634C77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6E723F">
        <w:rPr>
          <w:b/>
          <w:color w:val="0070C0"/>
        </w:rPr>
        <w:t>The Findings</w:t>
      </w:r>
    </w:p>
    <w:p w:rsidR="00634C77" w:rsidRDefault="00634C77" w:rsidP="00634C77">
      <w:pPr>
        <w:pStyle w:val="ListParagraph"/>
        <w:numPr>
          <w:ilvl w:val="0"/>
          <w:numId w:val="3"/>
        </w:numPr>
      </w:pPr>
      <w:r>
        <w:t>Using the standardised test</w:t>
      </w:r>
      <w:r w:rsidR="00900DC0">
        <w:t>s</w:t>
      </w:r>
      <w:r>
        <w:t xml:space="preserve"> (Sigma-T) our figures </w:t>
      </w:r>
      <w:r w:rsidR="00900DC0">
        <w:t>f</w:t>
      </w:r>
      <w:r>
        <w:t>r</w:t>
      </w:r>
      <w:r w:rsidR="00900DC0">
        <w:t>om</w:t>
      </w:r>
      <w:r>
        <w:t xml:space="preserve"> 2013 – 2015 show that the number of pupils scoring at or below the 16</w:t>
      </w:r>
      <w:r w:rsidRPr="00634C77">
        <w:rPr>
          <w:vertAlign w:val="superscript"/>
        </w:rPr>
        <w:t>th</w:t>
      </w:r>
      <w:r>
        <w:t xml:space="preserve"> percentile has decreased from 21.3% to 12.8%. These latest figures show a decrease of 8.5% for this group.</w:t>
      </w:r>
    </w:p>
    <w:p w:rsidR="00634C77" w:rsidRDefault="00634C77" w:rsidP="00634C77">
      <w:pPr>
        <w:pStyle w:val="ListParagraph"/>
        <w:numPr>
          <w:ilvl w:val="0"/>
          <w:numId w:val="3"/>
        </w:numPr>
      </w:pPr>
      <w:r>
        <w:t>There has also been a decrease in the number of students performing within the 17</w:t>
      </w:r>
      <w:r w:rsidRPr="00634C77">
        <w:rPr>
          <w:vertAlign w:val="superscript"/>
        </w:rPr>
        <w:t>th</w:t>
      </w:r>
      <w:r>
        <w:t xml:space="preserve"> to 50</w:t>
      </w:r>
      <w:r w:rsidRPr="00634C77">
        <w:rPr>
          <w:vertAlign w:val="superscript"/>
        </w:rPr>
        <w:t>th</w:t>
      </w:r>
      <w:r>
        <w:t xml:space="preserve"> percentile from 47.1% to 32.9%. This is a decrease of 14.2%.</w:t>
      </w:r>
    </w:p>
    <w:p w:rsidR="00634C77" w:rsidRDefault="00634C77" w:rsidP="00634C77">
      <w:pPr>
        <w:pStyle w:val="ListParagraph"/>
        <w:numPr>
          <w:ilvl w:val="0"/>
          <w:numId w:val="3"/>
        </w:numPr>
      </w:pPr>
      <w:r>
        <w:t xml:space="preserve">There has been </w:t>
      </w:r>
      <w:r w:rsidRPr="00634C77">
        <w:rPr>
          <w:b/>
          <w:i/>
        </w:rPr>
        <w:t>significant increase</w:t>
      </w:r>
      <w:r>
        <w:t xml:space="preserve"> in the number of students performing in the 51</w:t>
      </w:r>
      <w:r w:rsidRPr="00634C77">
        <w:rPr>
          <w:vertAlign w:val="superscript"/>
        </w:rPr>
        <w:t>st</w:t>
      </w:r>
      <w:r>
        <w:t xml:space="preserve"> to 84</w:t>
      </w:r>
      <w:r w:rsidRPr="00634C77">
        <w:rPr>
          <w:vertAlign w:val="superscript"/>
        </w:rPr>
        <w:t>th</w:t>
      </w:r>
      <w:r>
        <w:t xml:space="preserve"> percentile from 21.3% to 37.2%. This is an increase of 15.9%.</w:t>
      </w:r>
    </w:p>
    <w:p w:rsidR="00634C77" w:rsidRDefault="00634C77" w:rsidP="00634C77">
      <w:pPr>
        <w:pStyle w:val="ListParagraph"/>
        <w:numPr>
          <w:ilvl w:val="0"/>
          <w:numId w:val="3"/>
        </w:numPr>
      </w:pPr>
      <w:r>
        <w:t>Similarly, an increase has occurred with students performing at the 85</w:t>
      </w:r>
      <w:r w:rsidRPr="00634C77">
        <w:rPr>
          <w:vertAlign w:val="superscript"/>
        </w:rPr>
        <w:t>th</w:t>
      </w:r>
      <w:r>
        <w:t xml:space="preserve"> to 98</w:t>
      </w:r>
      <w:r w:rsidRPr="00634C77">
        <w:rPr>
          <w:vertAlign w:val="superscript"/>
        </w:rPr>
        <w:t>th</w:t>
      </w:r>
      <w:r>
        <w:t xml:space="preserve"> percentile from 7.1% to 11.6%. This is an increase of 4.5%.</w:t>
      </w:r>
    </w:p>
    <w:p w:rsidR="00634C77" w:rsidRDefault="00634C77" w:rsidP="00634C77">
      <w:pPr>
        <w:pStyle w:val="ListParagraph"/>
        <w:numPr>
          <w:ilvl w:val="0"/>
          <w:numId w:val="3"/>
        </w:numPr>
      </w:pPr>
      <w:r>
        <w:t>There has also been an increase of pupils performing above the 98</w:t>
      </w:r>
      <w:r w:rsidRPr="00634C77">
        <w:rPr>
          <w:vertAlign w:val="superscript"/>
        </w:rPr>
        <w:t>th</w:t>
      </w:r>
      <w:r>
        <w:t xml:space="preserve"> percentile from 0.6% to 3.0%. This is an increase of 2.4%.</w:t>
      </w:r>
    </w:p>
    <w:p w:rsidR="00634C77" w:rsidRDefault="00634C77" w:rsidP="00634C77">
      <w:pPr>
        <w:ind w:left="360"/>
      </w:pPr>
    </w:p>
    <w:p w:rsidR="00634C77" w:rsidRDefault="00634C77" w:rsidP="00634C77">
      <w:pPr>
        <w:ind w:left="360"/>
      </w:pPr>
      <w:r>
        <w:t>The above findings show an improvement in all percentile bands. 48.1% of pupils are successfully performing about the 50</w:t>
      </w:r>
      <w:r w:rsidRPr="00634C77">
        <w:rPr>
          <w:vertAlign w:val="superscript"/>
        </w:rPr>
        <w:t>th</w:t>
      </w:r>
      <w:r>
        <w:t xml:space="preserve"> percentile, this figure previously stood at 31.8%. This is an increase of 17.3%. </w:t>
      </w:r>
    </w:p>
    <w:p w:rsidR="00634C77" w:rsidRDefault="00634C77" w:rsidP="00634C77">
      <w:pPr>
        <w:ind w:left="360"/>
      </w:pPr>
    </w:p>
    <w:p w:rsidR="007C4E28" w:rsidRDefault="007C4E28" w:rsidP="00634C77">
      <w:pPr>
        <w:ind w:left="360"/>
      </w:pPr>
    </w:p>
    <w:p w:rsidR="007C4E28" w:rsidRDefault="007C4E28" w:rsidP="00634C77">
      <w:pPr>
        <w:ind w:left="360"/>
      </w:pPr>
    </w:p>
    <w:p w:rsidR="00634C77" w:rsidRPr="006E723F" w:rsidRDefault="00634C77" w:rsidP="007C4E28">
      <w:pPr>
        <w:jc w:val="center"/>
        <w:rPr>
          <w:b/>
        </w:rPr>
      </w:pPr>
      <w:r w:rsidRPr="006E723F">
        <w:rPr>
          <w:b/>
        </w:rPr>
        <w:lastRenderedPageBreak/>
        <w:t>Pupil and Parents’ Surveys</w:t>
      </w:r>
    </w:p>
    <w:p w:rsidR="00634C77" w:rsidRDefault="00634C77" w:rsidP="00634C77">
      <w:pPr>
        <w:pStyle w:val="ListParagraph"/>
        <w:numPr>
          <w:ilvl w:val="0"/>
          <w:numId w:val="5"/>
        </w:numPr>
      </w:pPr>
      <w:r>
        <w:t>It was found that the school m</w:t>
      </w:r>
      <w:r w:rsidR="00900DC0">
        <w:t>aintained its</w:t>
      </w:r>
      <w:r>
        <w:t xml:space="preserve"> positive attitude towards Maths. </w:t>
      </w:r>
    </w:p>
    <w:p w:rsidR="006E723F" w:rsidRDefault="00634C77" w:rsidP="007C4E28">
      <w:pPr>
        <w:pStyle w:val="ListParagraph"/>
        <w:numPr>
          <w:ilvl w:val="0"/>
          <w:numId w:val="5"/>
        </w:numPr>
      </w:pPr>
      <w:r>
        <w:t>Analysing the student survey, it was found that there has been an overall increase</w:t>
      </w:r>
      <w:r w:rsidR="00900DC0">
        <w:t xml:space="preserve"> and/or maintenance in</w:t>
      </w:r>
      <w:r>
        <w:t xml:space="preserve"> both attitude and enjoyment of</w:t>
      </w:r>
      <w:r w:rsidR="00900DC0">
        <w:t xml:space="preserve"> Maths. The results are as follows</w:t>
      </w:r>
      <w: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9"/>
        <w:gridCol w:w="2948"/>
        <w:gridCol w:w="2945"/>
      </w:tblGrid>
      <w:tr w:rsidR="006E723F" w:rsidTr="00867E0E">
        <w:tc>
          <w:tcPr>
            <w:tcW w:w="8882" w:type="dxa"/>
            <w:gridSpan w:val="3"/>
          </w:tcPr>
          <w:p w:rsidR="006E723F" w:rsidRPr="006E723F" w:rsidRDefault="006E723F" w:rsidP="006E723F">
            <w:pPr>
              <w:jc w:val="center"/>
              <w:rPr>
                <w:color w:val="00B050"/>
              </w:rPr>
            </w:pPr>
            <w:r w:rsidRPr="006E723F">
              <w:rPr>
                <w:color w:val="00B050"/>
              </w:rPr>
              <w:t>Student Survey</w:t>
            </w:r>
          </w:p>
        </w:tc>
      </w:tr>
      <w:tr w:rsidR="00634C77" w:rsidTr="006E723F">
        <w:tc>
          <w:tcPr>
            <w:tcW w:w="2989" w:type="dxa"/>
          </w:tcPr>
          <w:p w:rsidR="00634C77" w:rsidRDefault="00634C77" w:rsidP="00634C77"/>
        </w:tc>
        <w:tc>
          <w:tcPr>
            <w:tcW w:w="2948" w:type="dxa"/>
          </w:tcPr>
          <w:p w:rsidR="00634C77" w:rsidRPr="006E723F" w:rsidRDefault="00634C77" w:rsidP="006E723F">
            <w:pPr>
              <w:jc w:val="center"/>
              <w:rPr>
                <w:color w:val="00B050"/>
              </w:rPr>
            </w:pPr>
            <w:r w:rsidRPr="006E723F">
              <w:rPr>
                <w:color w:val="00B050"/>
              </w:rPr>
              <w:t>2014</w:t>
            </w:r>
          </w:p>
        </w:tc>
        <w:tc>
          <w:tcPr>
            <w:tcW w:w="2945" w:type="dxa"/>
          </w:tcPr>
          <w:p w:rsidR="00634C77" w:rsidRPr="006E723F" w:rsidRDefault="00634C77" w:rsidP="006E723F">
            <w:pPr>
              <w:jc w:val="center"/>
              <w:rPr>
                <w:color w:val="00B050"/>
              </w:rPr>
            </w:pPr>
            <w:r w:rsidRPr="006E723F">
              <w:rPr>
                <w:color w:val="00B050"/>
              </w:rPr>
              <w:t>2015</w:t>
            </w:r>
          </w:p>
        </w:tc>
      </w:tr>
      <w:tr w:rsidR="00634C77" w:rsidTr="006E723F">
        <w:tc>
          <w:tcPr>
            <w:tcW w:w="2989" w:type="dxa"/>
          </w:tcPr>
          <w:p w:rsidR="00634C77" w:rsidRDefault="00634C77" w:rsidP="00634C77">
            <w:r>
              <w:t>Addition</w:t>
            </w:r>
          </w:p>
        </w:tc>
        <w:tc>
          <w:tcPr>
            <w:tcW w:w="2948" w:type="dxa"/>
          </w:tcPr>
          <w:p w:rsidR="00634C77" w:rsidRDefault="00634C77" w:rsidP="006E723F">
            <w:pPr>
              <w:jc w:val="center"/>
            </w:pPr>
            <w:r>
              <w:t>100%</w:t>
            </w:r>
          </w:p>
        </w:tc>
        <w:tc>
          <w:tcPr>
            <w:tcW w:w="2945" w:type="dxa"/>
          </w:tcPr>
          <w:p w:rsidR="00634C77" w:rsidRDefault="00634C77" w:rsidP="006E723F">
            <w:pPr>
              <w:jc w:val="center"/>
            </w:pPr>
            <w:r>
              <w:t>96%</w:t>
            </w:r>
          </w:p>
        </w:tc>
      </w:tr>
      <w:tr w:rsidR="00634C77" w:rsidTr="006E723F">
        <w:tc>
          <w:tcPr>
            <w:tcW w:w="2989" w:type="dxa"/>
          </w:tcPr>
          <w:p w:rsidR="00634C77" w:rsidRDefault="00634C77" w:rsidP="00634C77">
            <w:r>
              <w:t>Subtraction</w:t>
            </w:r>
          </w:p>
        </w:tc>
        <w:tc>
          <w:tcPr>
            <w:tcW w:w="2948" w:type="dxa"/>
          </w:tcPr>
          <w:p w:rsidR="00634C77" w:rsidRDefault="00634C77" w:rsidP="006E723F">
            <w:pPr>
              <w:jc w:val="center"/>
            </w:pPr>
            <w:r>
              <w:t>57%</w:t>
            </w:r>
          </w:p>
        </w:tc>
        <w:tc>
          <w:tcPr>
            <w:tcW w:w="2945" w:type="dxa"/>
          </w:tcPr>
          <w:p w:rsidR="00634C77" w:rsidRDefault="00634C77" w:rsidP="006E723F">
            <w:pPr>
              <w:jc w:val="center"/>
            </w:pPr>
            <w:r>
              <w:t>76%</w:t>
            </w:r>
          </w:p>
        </w:tc>
      </w:tr>
      <w:tr w:rsidR="00634C77" w:rsidTr="006E723F">
        <w:tc>
          <w:tcPr>
            <w:tcW w:w="2989" w:type="dxa"/>
          </w:tcPr>
          <w:p w:rsidR="00634C77" w:rsidRDefault="00634C77" w:rsidP="00634C77">
            <w:r>
              <w:t>Multiplication</w:t>
            </w:r>
          </w:p>
        </w:tc>
        <w:tc>
          <w:tcPr>
            <w:tcW w:w="2948" w:type="dxa"/>
          </w:tcPr>
          <w:p w:rsidR="00634C77" w:rsidRDefault="00634C77" w:rsidP="006E723F">
            <w:pPr>
              <w:jc w:val="center"/>
            </w:pPr>
            <w:r>
              <w:t>52%</w:t>
            </w:r>
          </w:p>
        </w:tc>
        <w:tc>
          <w:tcPr>
            <w:tcW w:w="2945" w:type="dxa"/>
          </w:tcPr>
          <w:p w:rsidR="00634C77" w:rsidRDefault="00634C77" w:rsidP="006E723F">
            <w:pPr>
              <w:jc w:val="center"/>
            </w:pPr>
            <w:r>
              <w:t>68%</w:t>
            </w:r>
          </w:p>
        </w:tc>
      </w:tr>
      <w:tr w:rsidR="00634C77" w:rsidTr="006E723F">
        <w:tc>
          <w:tcPr>
            <w:tcW w:w="2989" w:type="dxa"/>
          </w:tcPr>
          <w:p w:rsidR="00634C77" w:rsidRDefault="00634C77" w:rsidP="00634C77">
            <w:r>
              <w:t>Division</w:t>
            </w:r>
          </w:p>
        </w:tc>
        <w:tc>
          <w:tcPr>
            <w:tcW w:w="2948" w:type="dxa"/>
          </w:tcPr>
          <w:p w:rsidR="00634C77" w:rsidRDefault="00634C77" w:rsidP="006E723F">
            <w:pPr>
              <w:jc w:val="center"/>
            </w:pPr>
            <w:r>
              <w:t>38%</w:t>
            </w:r>
          </w:p>
        </w:tc>
        <w:tc>
          <w:tcPr>
            <w:tcW w:w="2945" w:type="dxa"/>
          </w:tcPr>
          <w:p w:rsidR="00634C77" w:rsidRDefault="00634C77" w:rsidP="006E723F">
            <w:pPr>
              <w:jc w:val="center"/>
            </w:pPr>
            <w:r>
              <w:t>48%</w:t>
            </w:r>
          </w:p>
        </w:tc>
      </w:tr>
      <w:tr w:rsidR="00634C77" w:rsidTr="006E723F">
        <w:tc>
          <w:tcPr>
            <w:tcW w:w="2989" w:type="dxa"/>
          </w:tcPr>
          <w:p w:rsidR="00634C77" w:rsidRDefault="00634C77" w:rsidP="00634C77">
            <w:r>
              <w:t>Time *</w:t>
            </w:r>
          </w:p>
        </w:tc>
        <w:tc>
          <w:tcPr>
            <w:tcW w:w="2948" w:type="dxa"/>
          </w:tcPr>
          <w:p w:rsidR="00634C77" w:rsidRDefault="00634C77" w:rsidP="006E723F">
            <w:pPr>
              <w:jc w:val="center"/>
            </w:pPr>
            <w:r>
              <w:t>57%</w:t>
            </w:r>
          </w:p>
        </w:tc>
        <w:tc>
          <w:tcPr>
            <w:tcW w:w="2945" w:type="dxa"/>
          </w:tcPr>
          <w:p w:rsidR="00634C77" w:rsidRDefault="00634C77" w:rsidP="006E723F">
            <w:pPr>
              <w:jc w:val="center"/>
            </w:pPr>
            <w:r>
              <w:t>44%</w:t>
            </w:r>
          </w:p>
        </w:tc>
      </w:tr>
      <w:tr w:rsidR="00634C77" w:rsidTr="006E723F">
        <w:tc>
          <w:tcPr>
            <w:tcW w:w="2989" w:type="dxa"/>
          </w:tcPr>
          <w:p w:rsidR="00634C77" w:rsidRDefault="00634C77" w:rsidP="00634C77">
            <w:r>
              <w:t>Money</w:t>
            </w:r>
          </w:p>
        </w:tc>
        <w:tc>
          <w:tcPr>
            <w:tcW w:w="2948" w:type="dxa"/>
          </w:tcPr>
          <w:p w:rsidR="00634C77" w:rsidRDefault="00634C77" w:rsidP="006E723F">
            <w:pPr>
              <w:jc w:val="center"/>
            </w:pPr>
            <w:r>
              <w:t>52%</w:t>
            </w:r>
          </w:p>
        </w:tc>
        <w:tc>
          <w:tcPr>
            <w:tcW w:w="2945" w:type="dxa"/>
          </w:tcPr>
          <w:p w:rsidR="00634C77" w:rsidRDefault="00634C77" w:rsidP="006E723F">
            <w:pPr>
              <w:jc w:val="center"/>
            </w:pPr>
            <w:r>
              <w:t>64%</w:t>
            </w:r>
          </w:p>
        </w:tc>
      </w:tr>
      <w:tr w:rsidR="00634C77" w:rsidTr="006E723F">
        <w:tc>
          <w:tcPr>
            <w:tcW w:w="2989" w:type="dxa"/>
          </w:tcPr>
          <w:p w:rsidR="00634C77" w:rsidRDefault="00634C77" w:rsidP="00634C77">
            <w:r>
              <w:t>Length</w:t>
            </w:r>
          </w:p>
        </w:tc>
        <w:tc>
          <w:tcPr>
            <w:tcW w:w="2948" w:type="dxa"/>
          </w:tcPr>
          <w:p w:rsidR="00634C77" w:rsidRDefault="00634C77" w:rsidP="006E723F">
            <w:pPr>
              <w:jc w:val="center"/>
            </w:pPr>
            <w:r>
              <w:t>14%</w:t>
            </w:r>
          </w:p>
        </w:tc>
        <w:tc>
          <w:tcPr>
            <w:tcW w:w="2945" w:type="dxa"/>
          </w:tcPr>
          <w:p w:rsidR="00634C77" w:rsidRDefault="00634C77" w:rsidP="006E723F">
            <w:pPr>
              <w:jc w:val="center"/>
            </w:pPr>
            <w:r>
              <w:t>44%</w:t>
            </w:r>
          </w:p>
        </w:tc>
      </w:tr>
      <w:tr w:rsidR="00634C77" w:rsidTr="006E723F">
        <w:tc>
          <w:tcPr>
            <w:tcW w:w="2989" w:type="dxa"/>
          </w:tcPr>
          <w:p w:rsidR="00634C77" w:rsidRDefault="00634C77" w:rsidP="00634C77">
            <w:r>
              <w:t>Tables</w:t>
            </w:r>
          </w:p>
        </w:tc>
        <w:tc>
          <w:tcPr>
            <w:tcW w:w="2948" w:type="dxa"/>
          </w:tcPr>
          <w:p w:rsidR="00634C77" w:rsidRDefault="00634C77" w:rsidP="006E723F">
            <w:pPr>
              <w:jc w:val="center"/>
            </w:pPr>
            <w:r>
              <w:t>61%</w:t>
            </w:r>
          </w:p>
        </w:tc>
        <w:tc>
          <w:tcPr>
            <w:tcW w:w="2945" w:type="dxa"/>
          </w:tcPr>
          <w:p w:rsidR="00634C77" w:rsidRDefault="00634C77" w:rsidP="006E723F">
            <w:pPr>
              <w:jc w:val="center"/>
            </w:pPr>
            <w:r>
              <w:t>72%</w:t>
            </w:r>
          </w:p>
        </w:tc>
      </w:tr>
    </w:tbl>
    <w:p w:rsidR="00900DC0" w:rsidRPr="007C4E28" w:rsidRDefault="007C4E28" w:rsidP="007C4E28">
      <w:pPr>
        <w:jc w:val="center"/>
      </w:pPr>
      <w:r>
        <w:t xml:space="preserve">          (2014</w:t>
      </w:r>
      <w:r w:rsidR="00DE53E4">
        <w:t>– 4</w:t>
      </w:r>
      <w:r w:rsidR="00DE53E4" w:rsidRPr="007C4E28">
        <w:rPr>
          <w:vertAlign w:val="superscript"/>
        </w:rPr>
        <w:t>th</w:t>
      </w:r>
      <w:r w:rsidR="00DE53E4">
        <w:t xml:space="preserve"> Class, 2015 – 5</w:t>
      </w:r>
      <w:r w:rsidR="00DE53E4" w:rsidRPr="007C4E28">
        <w:rPr>
          <w:vertAlign w:val="superscript"/>
        </w:rPr>
        <w:t>th</w:t>
      </w:r>
      <w:r w:rsidR="00DE53E4">
        <w:t xml:space="preserve"> Class)</w:t>
      </w:r>
    </w:p>
    <w:p w:rsidR="00900DC0" w:rsidRPr="006E723F" w:rsidRDefault="00900DC0" w:rsidP="006E723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70C0"/>
        </w:rPr>
      </w:pPr>
      <w:r w:rsidRPr="006E723F">
        <w:rPr>
          <w:b/>
          <w:color w:val="0070C0"/>
        </w:rPr>
        <w:t>Progress made on previously identified targets identified in current SIP:</w:t>
      </w:r>
    </w:p>
    <w:p w:rsidR="00900DC0" w:rsidRPr="006E723F" w:rsidRDefault="00900DC0" w:rsidP="00900DC0">
      <w:pPr>
        <w:pStyle w:val="ListParagraph"/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0DC0" w:rsidRPr="006E723F" w:rsidTr="00900DC0">
        <w:tc>
          <w:tcPr>
            <w:tcW w:w="4621" w:type="dxa"/>
          </w:tcPr>
          <w:p w:rsidR="00900DC0" w:rsidRPr="006E723F" w:rsidRDefault="00900DC0" w:rsidP="00900DC0">
            <w:pPr>
              <w:rPr>
                <w:b/>
                <w:color w:val="00B050"/>
              </w:rPr>
            </w:pPr>
            <w:r w:rsidRPr="006E723F">
              <w:rPr>
                <w:b/>
                <w:color w:val="00B050"/>
              </w:rPr>
              <w:t>Target</w:t>
            </w:r>
          </w:p>
        </w:tc>
        <w:tc>
          <w:tcPr>
            <w:tcW w:w="4621" w:type="dxa"/>
          </w:tcPr>
          <w:p w:rsidR="00900DC0" w:rsidRPr="006E723F" w:rsidRDefault="00900DC0" w:rsidP="00900DC0">
            <w:pPr>
              <w:rPr>
                <w:b/>
                <w:color w:val="00B050"/>
              </w:rPr>
            </w:pPr>
            <w:r w:rsidRPr="006E723F">
              <w:rPr>
                <w:b/>
                <w:color w:val="00B050"/>
              </w:rPr>
              <w:t>Progress Made</w:t>
            </w:r>
          </w:p>
        </w:tc>
      </w:tr>
      <w:tr w:rsidR="00900DC0" w:rsidRPr="006E723F" w:rsidTr="00900DC0">
        <w:tc>
          <w:tcPr>
            <w:tcW w:w="4621" w:type="dxa"/>
          </w:tcPr>
          <w:p w:rsidR="00900DC0" w:rsidRPr="006E723F" w:rsidRDefault="00900DC0" w:rsidP="00900DC0">
            <w:pPr>
              <w:pStyle w:val="ListParagraph"/>
              <w:numPr>
                <w:ilvl w:val="0"/>
                <w:numId w:val="7"/>
              </w:numPr>
            </w:pPr>
            <w:r w:rsidRPr="006E723F">
              <w:t>Use more concrete materials in Maths lessons; fostering real life experience in the classroom environment and beyond.</w:t>
            </w:r>
          </w:p>
          <w:p w:rsidR="00900DC0" w:rsidRPr="006E723F" w:rsidRDefault="00900DC0" w:rsidP="00900DC0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900DC0" w:rsidRPr="006E723F" w:rsidRDefault="00900DC0" w:rsidP="00900DC0">
            <w:r w:rsidRPr="006E723F">
              <w:t>100% of teachers have reached this target; creating classroom shops, measuring areas in Sports Day, using timetables, cooking (linking with first steps Procedural Writing)</w:t>
            </w:r>
          </w:p>
        </w:tc>
      </w:tr>
      <w:tr w:rsidR="00900DC0" w:rsidRPr="006E723F" w:rsidTr="00900DC0">
        <w:tc>
          <w:tcPr>
            <w:tcW w:w="4621" w:type="dxa"/>
          </w:tcPr>
          <w:p w:rsidR="00900DC0" w:rsidRPr="006E723F" w:rsidRDefault="00900DC0" w:rsidP="00900DC0">
            <w:pPr>
              <w:pStyle w:val="ListParagraph"/>
              <w:numPr>
                <w:ilvl w:val="0"/>
                <w:numId w:val="7"/>
              </w:numPr>
            </w:pPr>
            <w:r w:rsidRPr="006E723F">
              <w:t>Increase the use of Maths in the school environment</w:t>
            </w:r>
          </w:p>
        </w:tc>
        <w:tc>
          <w:tcPr>
            <w:tcW w:w="4621" w:type="dxa"/>
          </w:tcPr>
          <w:p w:rsidR="00900DC0" w:rsidRPr="006E723F" w:rsidRDefault="00900DC0" w:rsidP="00900DC0">
            <w:pPr>
              <w:pStyle w:val="ListParagraph"/>
              <w:numPr>
                <w:ilvl w:val="0"/>
                <w:numId w:val="8"/>
              </w:numPr>
            </w:pPr>
            <w:r w:rsidRPr="006E723F">
              <w:t>A sea</w:t>
            </w:r>
            <w:r w:rsidR="007C4E28">
              <w:t>sonal maths board is always on d</w:t>
            </w:r>
            <w:r w:rsidRPr="006E723F">
              <w:t>isplay</w:t>
            </w:r>
            <w:r w:rsidRPr="006E723F">
              <w:rPr>
                <w:b/>
                <w:u w:val="single"/>
              </w:rPr>
              <w:t xml:space="preserve"> </w:t>
            </w:r>
            <w:r w:rsidRPr="006E723F">
              <w:t>outside Room 3. Children are afforded the opportunity to interact with this on a daily basis – solving problems, measuring and discussing their reasoning.</w:t>
            </w:r>
          </w:p>
          <w:p w:rsidR="00900DC0" w:rsidRPr="006E723F" w:rsidRDefault="00900DC0" w:rsidP="00900DC0">
            <w:pPr>
              <w:pStyle w:val="ListParagraph"/>
              <w:numPr>
                <w:ilvl w:val="0"/>
                <w:numId w:val="8"/>
              </w:numPr>
            </w:pPr>
            <w:r w:rsidRPr="006E723F">
              <w:t>Due to time constraints,</w:t>
            </w:r>
            <w:r w:rsidR="007C4E28">
              <w:t xml:space="preserve"> not all teachers were </w:t>
            </w:r>
            <w:r w:rsidRPr="006E723F">
              <w:t>able to complete a Maths Trail. This will be prioritised in September.</w:t>
            </w:r>
          </w:p>
          <w:p w:rsidR="00900DC0" w:rsidRPr="006E723F" w:rsidRDefault="00900DC0" w:rsidP="00900DC0">
            <w:pPr>
              <w:rPr>
                <w:b/>
                <w:u w:val="single"/>
              </w:rPr>
            </w:pPr>
          </w:p>
        </w:tc>
      </w:tr>
      <w:tr w:rsidR="00900DC0" w:rsidRPr="006E723F" w:rsidTr="00900DC0">
        <w:tc>
          <w:tcPr>
            <w:tcW w:w="4621" w:type="dxa"/>
          </w:tcPr>
          <w:p w:rsidR="00900DC0" w:rsidRPr="006E723F" w:rsidRDefault="00900DC0" w:rsidP="00900DC0">
            <w:pPr>
              <w:pStyle w:val="ListParagraph"/>
              <w:numPr>
                <w:ilvl w:val="0"/>
                <w:numId w:val="7"/>
              </w:numPr>
            </w:pPr>
            <w:r w:rsidRPr="006E723F">
              <w:t>All Maths Copies will be laid out with a specific rough work section appropriate to each group level (differentiation)</w:t>
            </w:r>
          </w:p>
        </w:tc>
        <w:tc>
          <w:tcPr>
            <w:tcW w:w="4621" w:type="dxa"/>
          </w:tcPr>
          <w:p w:rsidR="00900DC0" w:rsidRPr="006E723F" w:rsidRDefault="00900DC0" w:rsidP="00900DC0">
            <w:r w:rsidRPr="006E723F">
              <w:t>Teachers of senior classes found this target achievable and beneficial. This target was found to be irrelevant for 2</w:t>
            </w:r>
            <w:r w:rsidRPr="006E723F">
              <w:rPr>
                <w:vertAlign w:val="superscript"/>
              </w:rPr>
              <w:t>nd</w:t>
            </w:r>
            <w:r w:rsidRPr="006E723F">
              <w:t xml:space="preserve"> and 3</w:t>
            </w:r>
            <w:r w:rsidRPr="006E723F">
              <w:rPr>
                <w:vertAlign w:val="superscript"/>
              </w:rPr>
              <w:t>rd</w:t>
            </w:r>
            <w:r w:rsidRPr="006E723F">
              <w:t xml:space="preserve"> class.</w:t>
            </w:r>
          </w:p>
        </w:tc>
      </w:tr>
      <w:tr w:rsidR="00900DC0" w:rsidRPr="006E723F" w:rsidTr="00900DC0">
        <w:tc>
          <w:tcPr>
            <w:tcW w:w="4621" w:type="dxa"/>
          </w:tcPr>
          <w:p w:rsidR="00900DC0" w:rsidRPr="006E723F" w:rsidRDefault="00900DC0" w:rsidP="00900DC0">
            <w:pPr>
              <w:pStyle w:val="ListParagraph"/>
              <w:numPr>
                <w:ilvl w:val="0"/>
                <w:numId w:val="7"/>
              </w:numPr>
            </w:pPr>
            <w:r w:rsidRPr="006E723F">
              <w:t>Every Maths Group will don one problem solving activity per day using the RAVECCC approach. (Read, Analyse, Visualise, Estimate, Choose, Calculate, Check)</w:t>
            </w:r>
          </w:p>
        </w:tc>
        <w:tc>
          <w:tcPr>
            <w:tcW w:w="4621" w:type="dxa"/>
          </w:tcPr>
          <w:p w:rsidR="00900DC0" w:rsidRPr="006E723F" w:rsidRDefault="00900DC0" w:rsidP="00900DC0">
            <w:r w:rsidRPr="006E723F">
              <w:t xml:space="preserve">100% of teachers have reached this target – teachers found this target created fun discussions and developed children’s mathematical strategies. </w:t>
            </w:r>
          </w:p>
        </w:tc>
      </w:tr>
      <w:tr w:rsidR="00900DC0" w:rsidRPr="006E723F" w:rsidTr="00900DC0">
        <w:tc>
          <w:tcPr>
            <w:tcW w:w="4621" w:type="dxa"/>
          </w:tcPr>
          <w:p w:rsidR="00900DC0" w:rsidRPr="006E723F" w:rsidRDefault="00900DC0" w:rsidP="00900DC0">
            <w:pPr>
              <w:pStyle w:val="ListParagraph"/>
              <w:numPr>
                <w:ilvl w:val="0"/>
                <w:numId w:val="7"/>
              </w:numPr>
            </w:pPr>
            <w:r w:rsidRPr="006E723F">
              <w:t xml:space="preserve">Maintain the positive attitude towards Math throughout the school. </w:t>
            </w:r>
          </w:p>
        </w:tc>
        <w:tc>
          <w:tcPr>
            <w:tcW w:w="4621" w:type="dxa"/>
          </w:tcPr>
          <w:p w:rsidR="00900DC0" w:rsidRPr="006E723F" w:rsidRDefault="00900DC0" w:rsidP="00900DC0">
            <w:r w:rsidRPr="006E723F">
              <w:t xml:space="preserve">This target has been achieved. </w:t>
            </w:r>
            <w:r w:rsidR="007C4E28">
              <w:t>The p</w:t>
            </w:r>
            <w:r w:rsidR="007C4E28" w:rsidRPr="006E723F">
              <w:t>arent</w:t>
            </w:r>
            <w:r w:rsidR="007C4E28">
              <w:t>s’</w:t>
            </w:r>
            <w:r w:rsidRPr="006E723F">
              <w:t xml:space="preserve"> survey showed that 83% of parents feel that their child likes Maths. </w:t>
            </w:r>
          </w:p>
          <w:p w:rsidR="00900DC0" w:rsidRPr="006E723F" w:rsidRDefault="00900DC0" w:rsidP="00900DC0">
            <w:r w:rsidRPr="006E723F">
              <w:t>The table above (student survey) indicates that their positive attitude has</w:t>
            </w:r>
            <w:r w:rsidR="007C4E28">
              <w:t xml:space="preserve"> been</w:t>
            </w:r>
            <w:r w:rsidRPr="006E723F">
              <w:t xml:space="preserve"> maintained and in some cases, </w:t>
            </w:r>
            <w:r w:rsidR="007C4E28">
              <w:t xml:space="preserve">it </w:t>
            </w:r>
            <w:r w:rsidRPr="006E723F">
              <w:t>has increased.</w:t>
            </w:r>
          </w:p>
        </w:tc>
      </w:tr>
    </w:tbl>
    <w:p w:rsidR="006E723F" w:rsidRDefault="006E723F" w:rsidP="006E723F">
      <w:pPr>
        <w:spacing w:after="0" w:line="240" w:lineRule="auto"/>
        <w:rPr>
          <w:rFonts w:ascii="Arial Narrow" w:hAnsi="Arial Narrow"/>
        </w:rPr>
      </w:pPr>
    </w:p>
    <w:p w:rsidR="007C4E28" w:rsidRDefault="007C4E28" w:rsidP="006E723F">
      <w:pPr>
        <w:spacing w:after="0" w:line="240" w:lineRule="auto"/>
        <w:rPr>
          <w:rFonts w:ascii="Arial Narrow" w:hAnsi="Arial Narrow"/>
        </w:rPr>
      </w:pPr>
    </w:p>
    <w:p w:rsidR="00900DC0" w:rsidRPr="006E723F" w:rsidRDefault="00900DC0" w:rsidP="006E723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70C0"/>
        </w:rPr>
      </w:pPr>
      <w:r w:rsidRPr="006E723F">
        <w:rPr>
          <w:b/>
          <w:color w:val="0070C0"/>
        </w:rPr>
        <w:lastRenderedPageBreak/>
        <w:t>Strengths:</w:t>
      </w:r>
    </w:p>
    <w:p w:rsidR="006C48D9" w:rsidRPr="006C48D9" w:rsidRDefault="006C48D9" w:rsidP="006C48D9">
      <w:pPr>
        <w:spacing w:after="0" w:line="240" w:lineRule="auto"/>
        <w:rPr>
          <w:rFonts w:ascii="Arial Narrow" w:hAnsi="Arial Narrow"/>
        </w:rPr>
      </w:pPr>
    </w:p>
    <w:p w:rsidR="00DE53E4" w:rsidRPr="007C4E28" w:rsidRDefault="006C48D9" w:rsidP="007C4E28">
      <w:pPr>
        <w:pStyle w:val="ListParagraph"/>
        <w:numPr>
          <w:ilvl w:val="0"/>
          <w:numId w:val="9"/>
        </w:numPr>
        <w:spacing w:after="0" w:line="240" w:lineRule="auto"/>
      </w:pPr>
      <w:r w:rsidRPr="006E723F">
        <w:t xml:space="preserve">Using this year’s </w:t>
      </w:r>
      <w:r w:rsidRPr="006E723F">
        <w:rPr>
          <w:b/>
          <w:color w:val="C00000"/>
          <w:u w:val="single"/>
        </w:rPr>
        <w:t>standardised Sigma-T</w:t>
      </w:r>
      <w:r w:rsidRPr="006E723F">
        <w:t xml:space="preserve"> tests, the following results were recorded.</w:t>
      </w:r>
      <w:r w:rsidR="006E723F" w:rsidRPr="007C4E28">
        <w:rPr>
          <w:rFonts w:ascii="Arial Narrow" w:hAnsi="Arial Narrow"/>
        </w:rPr>
        <w:tab/>
      </w:r>
    </w:p>
    <w:p w:rsidR="006C48D9" w:rsidRDefault="006C48D9" w:rsidP="006C48D9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647"/>
        <w:gridCol w:w="1519"/>
        <w:gridCol w:w="1519"/>
        <w:gridCol w:w="1519"/>
        <w:gridCol w:w="1457"/>
      </w:tblGrid>
      <w:tr w:rsidR="006C48D9" w:rsidTr="00DE53E4">
        <w:tc>
          <w:tcPr>
            <w:tcW w:w="1519" w:type="dxa"/>
          </w:tcPr>
          <w:p w:rsidR="006C48D9" w:rsidRPr="006E723F" w:rsidRDefault="006C48D9" w:rsidP="006C48D9">
            <w:pPr>
              <w:rPr>
                <w:rFonts w:ascii="Arial Narrow" w:hAnsi="Arial Narrow"/>
                <w:color w:val="00B050"/>
              </w:rPr>
            </w:pPr>
            <w:r w:rsidRPr="006E723F">
              <w:rPr>
                <w:rFonts w:ascii="Arial Narrow" w:hAnsi="Arial Narrow"/>
                <w:color w:val="00B050"/>
              </w:rPr>
              <w:t>Strand</w:t>
            </w:r>
          </w:p>
        </w:tc>
        <w:tc>
          <w:tcPr>
            <w:tcW w:w="1647" w:type="dxa"/>
          </w:tcPr>
          <w:p w:rsidR="006C48D9" w:rsidRPr="006E723F" w:rsidRDefault="006C48D9" w:rsidP="006C48D9">
            <w:pPr>
              <w:rPr>
                <w:rFonts w:ascii="Arial Narrow" w:hAnsi="Arial Narrow"/>
                <w:color w:val="00B050"/>
              </w:rPr>
            </w:pPr>
            <w:r w:rsidRPr="006E723F">
              <w:rPr>
                <w:rFonts w:ascii="Arial Narrow" w:hAnsi="Arial Narrow"/>
                <w:color w:val="00B050"/>
              </w:rPr>
              <w:t>Number</w:t>
            </w:r>
          </w:p>
        </w:tc>
        <w:tc>
          <w:tcPr>
            <w:tcW w:w="1519" w:type="dxa"/>
          </w:tcPr>
          <w:p w:rsidR="006C48D9" w:rsidRPr="006E723F" w:rsidRDefault="006C48D9" w:rsidP="006C48D9">
            <w:pPr>
              <w:rPr>
                <w:rFonts w:ascii="Arial Narrow" w:hAnsi="Arial Narrow"/>
                <w:color w:val="00B050"/>
              </w:rPr>
            </w:pPr>
            <w:r w:rsidRPr="006E723F">
              <w:rPr>
                <w:rFonts w:ascii="Arial Narrow" w:hAnsi="Arial Narrow"/>
                <w:color w:val="00B050"/>
              </w:rPr>
              <w:t>Measure</w:t>
            </w:r>
          </w:p>
        </w:tc>
        <w:tc>
          <w:tcPr>
            <w:tcW w:w="1519" w:type="dxa"/>
          </w:tcPr>
          <w:p w:rsidR="006C48D9" w:rsidRPr="006E723F" w:rsidRDefault="006C48D9" w:rsidP="006C48D9">
            <w:pPr>
              <w:rPr>
                <w:rFonts w:ascii="Arial Narrow" w:hAnsi="Arial Narrow"/>
                <w:color w:val="00B050"/>
              </w:rPr>
            </w:pPr>
            <w:r w:rsidRPr="006E723F">
              <w:rPr>
                <w:rFonts w:ascii="Arial Narrow" w:hAnsi="Arial Narrow"/>
                <w:color w:val="00B050"/>
              </w:rPr>
              <w:t>Shape and Space</w:t>
            </w:r>
          </w:p>
        </w:tc>
        <w:tc>
          <w:tcPr>
            <w:tcW w:w="1519" w:type="dxa"/>
          </w:tcPr>
          <w:p w:rsidR="006C48D9" w:rsidRPr="006E723F" w:rsidRDefault="006C48D9" w:rsidP="006C48D9">
            <w:pPr>
              <w:rPr>
                <w:rFonts w:ascii="Arial Narrow" w:hAnsi="Arial Narrow"/>
                <w:color w:val="00B050"/>
              </w:rPr>
            </w:pPr>
            <w:r w:rsidRPr="006E723F">
              <w:rPr>
                <w:rFonts w:ascii="Arial Narrow" w:hAnsi="Arial Narrow"/>
                <w:color w:val="00B050"/>
              </w:rPr>
              <w:t>Algebra</w:t>
            </w:r>
          </w:p>
        </w:tc>
        <w:tc>
          <w:tcPr>
            <w:tcW w:w="1457" w:type="dxa"/>
          </w:tcPr>
          <w:p w:rsidR="006C48D9" w:rsidRPr="006E723F" w:rsidRDefault="006C48D9" w:rsidP="006C48D9">
            <w:pPr>
              <w:rPr>
                <w:rFonts w:ascii="Arial Narrow" w:hAnsi="Arial Narrow"/>
                <w:color w:val="00B050"/>
              </w:rPr>
            </w:pPr>
            <w:r w:rsidRPr="006E723F">
              <w:rPr>
                <w:rFonts w:ascii="Arial Narrow" w:hAnsi="Arial Narrow"/>
                <w:color w:val="00B050"/>
              </w:rPr>
              <w:t>Data</w:t>
            </w:r>
          </w:p>
        </w:tc>
      </w:tr>
      <w:tr w:rsidR="00DE53E4" w:rsidTr="00DE53E4">
        <w:tc>
          <w:tcPr>
            <w:tcW w:w="1519" w:type="dxa"/>
          </w:tcPr>
          <w:p w:rsidR="00DE53E4" w:rsidRPr="006E723F" w:rsidRDefault="00DE53E4" w:rsidP="006C48D9">
            <w:pPr>
              <w:rPr>
                <w:rFonts w:ascii="Arial Narrow" w:hAnsi="Arial Narrow"/>
                <w:i/>
              </w:rPr>
            </w:pPr>
            <w:r w:rsidRPr="006E723F">
              <w:rPr>
                <w:rFonts w:ascii="Arial Narrow" w:hAnsi="Arial Narrow"/>
                <w:i/>
              </w:rPr>
              <w:t>2014</w:t>
            </w:r>
          </w:p>
          <w:p w:rsidR="00DE53E4" w:rsidRPr="006E723F" w:rsidRDefault="00DE53E4" w:rsidP="006C48D9">
            <w:pPr>
              <w:rPr>
                <w:rFonts w:ascii="Arial Narrow" w:hAnsi="Arial Narrow"/>
                <w:i/>
              </w:rPr>
            </w:pPr>
            <w:r w:rsidRPr="006E723F">
              <w:rPr>
                <w:rFonts w:ascii="Arial Narrow" w:hAnsi="Arial Narrow"/>
                <w:i/>
              </w:rPr>
              <w:t>Percentage of Questions Answered Correctly</w:t>
            </w:r>
          </w:p>
        </w:tc>
        <w:tc>
          <w:tcPr>
            <w:tcW w:w="1647" w:type="dxa"/>
          </w:tcPr>
          <w:p w:rsidR="00DE53E4" w:rsidRDefault="00DE53E4" w:rsidP="00DE53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52.1%</w:t>
            </w:r>
          </w:p>
        </w:tc>
        <w:tc>
          <w:tcPr>
            <w:tcW w:w="1519" w:type="dxa"/>
          </w:tcPr>
          <w:p w:rsidR="00DE53E4" w:rsidRDefault="00DE53E4" w:rsidP="00DE53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43.4%</w:t>
            </w:r>
          </w:p>
        </w:tc>
        <w:tc>
          <w:tcPr>
            <w:tcW w:w="1519" w:type="dxa"/>
          </w:tcPr>
          <w:p w:rsidR="00DE53E4" w:rsidRDefault="00DE53E4" w:rsidP="00DE53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42.3%</w:t>
            </w:r>
          </w:p>
        </w:tc>
        <w:tc>
          <w:tcPr>
            <w:tcW w:w="1519" w:type="dxa"/>
          </w:tcPr>
          <w:p w:rsidR="00DE53E4" w:rsidRDefault="00DE53E4" w:rsidP="00DE53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57.5%</w:t>
            </w:r>
          </w:p>
        </w:tc>
        <w:tc>
          <w:tcPr>
            <w:tcW w:w="1457" w:type="dxa"/>
          </w:tcPr>
          <w:p w:rsidR="00DE53E4" w:rsidRDefault="00DE53E4" w:rsidP="00DE53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51%</w:t>
            </w:r>
          </w:p>
        </w:tc>
      </w:tr>
      <w:tr w:rsidR="00DE53E4" w:rsidTr="00DE53E4">
        <w:tc>
          <w:tcPr>
            <w:tcW w:w="1519" w:type="dxa"/>
          </w:tcPr>
          <w:p w:rsidR="00DE53E4" w:rsidRPr="006E723F" w:rsidRDefault="00DE53E4" w:rsidP="005F0AAD">
            <w:pPr>
              <w:rPr>
                <w:rFonts w:ascii="Arial Narrow" w:hAnsi="Arial Narrow"/>
                <w:i/>
              </w:rPr>
            </w:pPr>
            <w:r w:rsidRPr="006E723F">
              <w:rPr>
                <w:rFonts w:ascii="Arial Narrow" w:hAnsi="Arial Narrow"/>
                <w:i/>
              </w:rPr>
              <w:t>2015</w:t>
            </w:r>
          </w:p>
          <w:p w:rsidR="00DE53E4" w:rsidRPr="006E723F" w:rsidRDefault="00DE53E4" w:rsidP="005F0AAD">
            <w:pPr>
              <w:rPr>
                <w:rFonts w:ascii="Arial Narrow" w:hAnsi="Arial Narrow"/>
                <w:i/>
              </w:rPr>
            </w:pPr>
            <w:r w:rsidRPr="006E723F">
              <w:rPr>
                <w:rFonts w:ascii="Arial Narrow" w:hAnsi="Arial Narrow"/>
                <w:i/>
              </w:rPr>
              <w:t>Percentage of</w:t>
            </w:r>
          </w:p>
          <w:p w:rsidR="00DE53E4" w:rsidRPr="006E723F" w:rsidRDefault="00DE53E4" w:rsidP="005F0AAD">
            <w:pPr>
              <w:rPr>
                <w:rFonts w:ascii="Arial Narrow" w:hAnsi="Arial Narrow"/>
                <w:i/>
              </w:rPr>
            </w:pPr>
            <w:r w:rsidRPr="006E723F">
              <w:rPr>
                <w:rFonts w:ascii="Arial Narrow" w:hAnsi="Arial Narrow"/>
                <w:i/>
              </w:rPr>
              <w:t>Questions Answered Correctly</w:t>
            </w:r>
          </w:p>
        </w:tc>
        <w:tc>
          <w:tcPr>
            <w:tcW w:w="1647" w:type="dxa"/>
          </w:tcPr>
          <w:p w:rsidR="00DE53E4" w:rsidRDefault="00DE53E4" w:rsidP="005F0A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53.2%</w:t>
            </w:r>
          </w:p>
        </w:tc>
        <w:tc>
          <w:tcPr>
            <w:tcW w:w="1519" w:type="dxa"/>
          </w:tcPr>
          <w:p w:rsidR="00DE53E4" w:rsidRDefault="00DE53E4" w:rsidP="005F0A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44.5%</w:t>
            </w:r>
          </w:p>
        </w:tc>
        <w:tc>
          <w:tcPr>
            <w:tcW w:w="1519" w:type="dxa"/>
          </w:tcPr>
          <w:p w:rsidR="00DE53E4" w:rsidRDefault="00DE53E4" w:rsidP="005F0A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53.2%</w:t>
            </w:r>
          </w:p>
        </w:tc>
        <w:tc>
          <w:tcPr>
            <w:tcW w:w="1519" w:type="dxa"/>
          </w:tcPr>
          <w:p w:rsidR="00DE53E4" w:rsidRDefault="00DE53E4" w:rsidP="005F0A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57.5%</w:t>
            </w:r>
          </w:p>
        </w:tc>
        <w:tc>
          <w:tcPr>
            <w:tcW w:w="1457" w:type="dxa"/>
          </w:tcPr>
          <w:p w:rsidR="00DE53E4" w:rsidRDefault="00DE53E4" w:rsidP="005F0A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54.9%</w:t>
            </w:r>
          </w:p>
        </w:tc>
      </w:tr>
    </w:tbl>
    <w:p w:rsidR="006C48D9" w:rsidRPr="006E723F" w:rsidRDefault="006C48D9" w:rsidP="006C48D9">
      <w:pPr>
        <w:spacing w:after="0" w:line="240" w:lineRule="auto"/>
      </w:pPr>
    </w:p>
    <w:p w:rsidR="00DE53E4" w:rsidRDefault="00DE53E4" w:rsidP="00900DC0">
      <w:pPr>
        <w:spacing w:after="0" w:line="240" w:lineRule="auto"/>
      </w:pPr>
      <w:r w:rsidRPr="006E723F">
        <w:t xml:space="preserve">From the above table, there have been improvements across all strands of the Maths curriculum. </w:t>
      </w:r>
    </w:p>
    <w:p w:rsidR="007C4E28" w:rsidRPr="006E723F" w:rsidRDefault="007C4E28" w:rsidP="00900DC0">
      <w:pPr>
        <w:spacing w:after="0" w:line="240" w:lineRule="auto"/>
      </w:pPr>
    </w:p>
    <w:p w:rsidR="00DE53E4" w:rsidRPr="007C4E28" w:rsidRDefault="00DE53E4" w:rsidP="006E723F">
      <w:pPr>
        <w:spacing w:after="0" w:line="240" w:lineRule="auto"/>
        <w:rPr>
          <w:b/>
          <w:color w:val="C00000"/>
          <w:u w:val="single"/>
        </w:rPr>
      </w:pPr>
      <w:r w:rsidRPr="007C4E28">
        <w:rPr>
          <w:b/>
          <w:color w:val="C00000"/>
          <w:u w:val="single"/>
        </w:rPr>
        <w:t>Attitude to maths</w:t>
      </w:r>
    </w:p>
    <w:p w:rsidR="00DE53E4" w:rsidRPr="006E723F" w:rsidRDefault="00DE53E4" w:rsidP="00DE53E4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:rsidR="00DE53E4" w:rsidRPr="006E723F" w:rsidRDefault="00DE53E4" w:rsidP="00DE53E4">
      <w:pPr>
        <w:pStyle w:val="ListParagraph"/>
        <w:numPr>
          <w:ilvl w:val="0"/>
          <w:numId w:val="10"/>
        </w:numPr>
        <w:spacing w:after="0" w:line="240" w:lineRule="auto"/>
      </w:pPr>
      <w:r w:rsidRPr="006E723F">
        <w:t xml:space="preserve">44% of parents have noticed a positive change in their child’s attitude towards Maths. </w:t>
      </w:r>
    </w:p>
    <w:p w:rsidR="00DE53E4" w:rsidRPr="006E723F" w:rsidRDefault="00DE53E4" w:rsidP="00DE53E4">
      <w:pPr>
        <w:pStyle w:val="ListParagraph"/>
        <w:numPr>
          <w:ilvl w:val="0"/>
          <w:numId w:val="10"/>
        </w:numPr>
        <w:spacing w:after="0" w:line="240" w:lineRule="auto"/>
      </w:pPr>
      <w:r w:rsidRPr="006E723F">
        <w:t xml:space="preserve">Similarly, 83% of parents stated that their child likes Maths. </w:t>
      </w:r>
    </w:p>
    <w:p w:rsidR="00DE53E4" w:rsidRPr="006E723F" w:rsidRDefault="00DE53E4" w:rsidP="00DE53E4">
      <w:pPr>
        <w:pStyle w:val="ListParagraph"/>
        <w:numPr>
          <w:ilvl w:val="0"/>
          <w:numId w:val="10"/>
        </w:numPr>
        <w:spacing w:after="0" w:line="240" w:lineRule="auto"/>
      </w:pPr>
      <w:r w:rsidRPr="006E723F">
        <w:t>60% of students surveyed stated that they enjoy doing Maths.</w:t>
      </w:r>
    </w:p>
    <w:p w:rsidR="00DE53E4" w:rsidRPr="006E723F" w:rsidRDefault="00DE53E4" w:rsidP="00DE53E4">
      <w:pPr>
        <w:spacing w:after="0" w:line="240" w:lineRule="auto"/>
        <w:rPr>
          <w:color w:val="C00000"/>
        </w:rPr>
      </w:pPr>
    </w:p>
    <w:p w:rsidR="00DE53E4" w:rsidRPr="006E723F" w:rsidRDefault="00DE53E4" w:rsidP="006E723F">
      <w:pPr>
        <w:spacing w:after="0" w:line="240" w:lineRule="auto"/>
        <w:rPr>
          <w:b/>
          <w:color w:val="C00000"/>
          <w:u w:val="single"/>
        </w:rPr>
      </w:pPr>
      <w:r w:rsidRPr="006E723F">
        <w:rPr>
          <w:b/>
          <w:color w:val="C00000"/>
          <w:u w:val="single"/>
        </w:rPr>
        <w:t>Implementation of School Improvement Plan targets</w:t>
      </w:r>
    </w:p>
    <w:p w:rsidR="00DE53E4" w:rsidRPr="006E723F" w:rsidRDefault="00DE53E4" w:rsidP="00DE53E4">
      <w:pPr>
        <w:spacing w:after="0" w:line="240" w:lineRule="auto"/>
        <w:rPr>
          <w:b/>
          <w:u w:val="single"/>
        </w:rPr>
      </w:pPr>
    </w:p>
    <w:p w:rsidR="00DE53E4" w:rsidRPr="006E723F" w:rsidRDefault="00DE53E4" w:rsidP="00DE53E4">
      <w:pPr>
        <w:spacing w:after="0" w:line="240" w:lineRule="auto"/>
      </w:pPr>
      <w:r w:rsidRPr="006E723F">
        <w:t>Teachers implemented the planned targets for 2014/2015 successfully. From the above tables it is clear that progress has been made and most targets have been met.</w:t>
      </w:r>
    </w:p>
    <w:p w:rsidR="00DE53E4" w:rsidRPr="006E723F" w:rsidRDefault="00DE53E4" w:rsidP="00DE53E4">
      <w:pPr>
        <w:spacing w:after="0" w:line="240" w:lineRule="auto"/>
      </w:pPr>
    </w:p>
    <w:p w:rsidR="00DE53E4" w:rsidRPr="006E723F" w:rsidRDefault="00DE53E4" w:rsidP="006E723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70C0"/>
        </w:rPr>
      </w:pPr>
      <w:r w:rsidRPr="006E723F">
        <w:rPr>
          <w:b/>
          <w:color w:val="0070C0"/>
        </w:rPr>
        <w:t>Areas for Improvement</w:t>
      </w:r>
      <w:r w:rsidR="006E723F" w:rsidRPr="006E723F">
        <w:rPr>
          <w:b/>
          <w:color w:val="0070C0"/>
        </w:rPr>
        <w:t>:</w:t>
      </w:r>
    </w:p>
    <w:p w:rsidR="00DE53E4" w:rsidRPr="006E723F" w:rsidRDefault="00DE53E4" w:rsidP="00DE53E4">
      <w:pPr>
        <w:spacing w:after="0" w:line="240" w:lineRule="auto"/>
        <w:rPr>
          <w:b/>
          <w:u w:val="single"/>
        </w:rPr>
      </w:pPr>
    </w:p>
    <w:p w:rsidR="00DE53E4" w:rsidRPr="006E723F" w:rsidRDefault="00DE53E4" w:rsidP="00DE53E4">
      <w:pPr>
        <w:spacing w:after="0" w:line="240" w:lineRule="auto"/>
        <w:rPr>
          <w:b/>
          <w:color w:val="4F6228" w:themeColor="accent3" w:themeShade="80"/>
          <w:u w:val="single"/>
        </w:rPr>
      </w:pPr>
      <w:r w:rsidRPr="006E723F">
        <w:rPr>
          <w:b/>
          <w:color w:val="4F6228" w:themeColor="accent3" w:themeShade="80"/>
          <w:u w:val="single"/>
        </w:rPr>
        <w:t>Strand Area: Measurement</w:t>
      </w:r>
    </w:p>
    <w:p w:rsidR="00DE53E4" w:rsidRPr="006E723F" w:rsidRDefault="00DE53E4" w:rsidP="00DE53E4">
      <w:pPr>
        <w:spacing w:after="0" w:line="240" w:lineRule="auto"/>
      </w:pPr>
      <w:r w:rsidRPr="006E723F">
        <w:t>Student surv</w:t>
      </w:r>
      <w:r w:rsidR="007C4E28">
        <w:t xml:space="preserve">eys show that time and </w:t>
      </w:r>
      <w:proofErr w:type="gramStart"/>
      <w:r w:rsidR="007C4E28">
        <w:t>length are</w:t>
      </w:r>
      <w:proofErr w:type="gramEnd"/>
      <w:r w:rsidR="007C4E28">
        <w:t xml:space="preserve"> the topics</w:t>
      </w:r>
      <w:r w:rsidRPr="006E723F">
        <w:t xml:space="preserve"> that children are least confident in. These topics both score below 50%.</w:t>
      </w:r>
      <w:r w:rsidR="007C4E28">
        <w:t xml:space="preserve"> (Student Survey)</w:t>
      </w:r>
    </w:p>
    <w:p w:rsidR="00DE53E4" w:rsidRPr="006E723F" w:rsidRDefault="007C4E28" w:rsidP="00DE53E4">
      <w:pPr>
        <w:spacing w:after="0" w:line="240" w:lineRule="auto"/>
      </w:pPr>
      <w:r w:rsidRPr="006E723F">
        <w:t>Analysis of the standardised tests shows</w:t>
      </w:r>
      <w:r w:rsidR="00DE53E4" w:rsidRPr="006E723F">
        <w:t xml:space="preserve"> that measurement was the</w:t>
      </w:r>
      <w:r>
        <w:t xml:space="preserve"> only strand to score below 50%</w:t>
      </w:r>
      <w:r w:rsidR="00DE53E4" w:rsidRPr="006E723F">
        <w:t>.</w:t>
      </w:r>
    </w:p>
    <w:p w:rsidR="00DE53E4" w:rsidRPr="006E723F" w:rsidRDefault="00DE53E4" w:rsidP="00DE53E4">
      <w:pPr>
        <w:spacing w:after="0" w:line="240" w:lineRule="auto"/>
      </w:pPr>
      <w:r w:rsidRPr="006E723F">
        <w:t>63.5% of questions asked were answered incorrectly. As a result of these findings an emphasis will be placed on this strand for the year 2015/2016.</w:t>
      </w:r>
    </w:p>
    <w:p w:rsidR="00DE53E4" w:rsidRPr="006E723F" w:rsidRDefault="006E723F" w:rsidP="006E723F">
      <w:pPr>
        <w:tabs>
          <w:tab w:val="left" w:pos="2145"/>
        </w:tabs>
        <w:spacing w:after="0" w:line="240" w:lineRule="auto"/>
        <w:rPr>
          <w:color w:val="7030A0"/>
        </w:rPr>
      </w:pPr>
      <w:r w:rsidRPr="006E723F">
        <w:rPr>
          <w:color w:val="7030A0"/>
        </w:rPr>
        <w:tab/>
      </w:r>
    </w:p>
    <w:p w:rsidR="00DE53E4" w:rsidRPr="006E723F" w:rsidRDefault="00DE53E4" w:rsidP="00DE53E4">
      <w:pPr>
        <w:spacing w:after="0" w:line="240" w:lineRule="auto"/>
        <w:rPr>
          <w:b/>
          <w:color w:val="4F6228" w:themeColor="accent3" w:themeShade="80"/>
          <w:u w:val="single"/>
        </w:rPr>
      </w:pPr>
      <w:r w:rsidRPr="006E723F">
        <w:rPr>
          <w:b/>
          <w:color w:val="4F6228" w:themeColor="accent3" w:themeShade="80"/>
          <w:u w:val="single"/>
        </w:rPr>
        <w:t>Collaboration between home and school</w:t>
      </w:r>
    </w:p>
    <w:p w:rsidR="00DE53E4" w:rsidRPr="006E723F" w:rsidRDefault="00DE53E4" w:rsidP="00DE53E4">
      <w:pPr>
        <w:spacing w:after="0" w:line="240" w:lineRule="auto"/>
      </w:pPr>
      <w:r w:rsidRPr="006E723F">
        <w:t>64% of parents stated that their child often has difficulty with maths homework. A collaborative approach could facilitate the parents in helping students with their homework. This could be achieved as follows:</w:t>
      </w:r>
    </w:p>
    <w:p w:rsidR="00DE53E4" w:rsidRPr="006E723F" w:rsidRDefault="007C4E28" w:rsidP="00DE53E4">
      <w:pPr>
        <w:pStyle w:val="ListParagraph"/>
        <w:numPr>
          <w:ilvl w:val="0"/>
          <w:numId w:val="11"/>
        </w:numPr>
        <w:spacing w:after="0" w:line="240" w:lineRule="auto"/>
      </w:pPr>
      <w:r>
        <w:t>Maths for Fun could be considered for all class levels (currently</w:t>
      </w:r>
      <w:r w:rsidR="00DE53E4" w:rsidRPr="006E723F">
        <w:t xml:space="preserve"> running in 2</w:t>
      </w:r>
      <w:r w:rsidR="00DE53E4" w:rsidRPr="006E723F">
        <w:rPr>
          <w:vertAlign w:val="superscript"/>
        </w:rPr>
        <w:t>nd</w:t>
      </w:r>
      <w:r w:rsidR="00DE53E4" w:rsidRPr="006E723F">
        <w:t xml:space="preserve"> class)</w:t>
      </w:r>
      <w:r>
        <w:t>.</w:t>
      </w:r>
    </w:p>
    <w:p w:rsidR="00DE53E4" w:rsidRPr="006E723F" w:rsidRDefault="007C4E28" w:rsidP="00DE53E4">
      <w:pPr>
        <w:pStyle w:val="ListParagraph"/>
        <w:numPr>
          <w:ilvl w:val="0"/>
          <w:numId w:val="11"/>
        </w:numPr>
        <w:spacing w:after="0" w:line="240" w:lineRule="auto"/>
      </w:pPr>
      <w:r>
        <w:t>Use our website to d</w:t>
      </w:r>
      <w:r w:rsidR="00DE53E4" w:rsidRPr="006E723F">
        <w:t>isplay different strategies and examples for working out various sums and word problems at each class level. This will be discussed at the first parent teacher meeting in October.</w:t>
      </w:r>
    </w:p>
    <w:p w:rsidR="00DE53E4" w:rsidRPr="006E723F" w:rsidRDefault="00DE53E4" w:rsidP="00DE53E4">
      <w:pPr>
        <w:spacing w:after="0" w:line="240" w:lineRule="auto"/>
      </w:pPr>
    </w:p>
    <w:p w:rsidR="00DE53E4" w:rsidRPr="006E723F" w:rsidRDefault="00DE53E4" w:rsidP="00DE53E4">
      <w:pPr>
        <w:spacing w:after="0" w:line="240" w:lineRule="auto"/>
        <w:rPr>
          <w:b/>
          <w:color w:val="4F6228" w:themeColor="accent3" w:themeShade="80"/>
          <w:u w:val="single"/>
        </w:rPr>
      </w:pPr>
      <w:r w:rsidRPr="006E723F">
        <w:rPr>
          <w:b/>
          <w:color w:val="4F6228" w:themeColor="accent3" w:themeShade="80"/>
          <w:u w:val="single"/>
        </w:rPr>
        <w:t>Maths Trails</w:t>
      </w:r>
    </w:p>
    <w:p w:rsidR="00DE53E4" w:rsidRPr="006E723F" w:rsidRDefault="00DE53E4" w:rsidP="00DE53E4">
      <w:pPr>
        <w:spacing w:after="0" w:line="240" w:lineRule="auto"/>
      </w:pPr>
    </w:p>
    <w:p w:rsidR="00DE53E4" w:rsidRPr="006E723F" w:rsidRDefault="00DE53E4" w:rsidP="00DE53E4">
      <w:r w:rsidRPr="006E723F">
        <w:t xml:space="preserve">Due to time constraints, </w:t>
      </w:r>
      <w:r w:rsidR="007C4E28">
        <w:t xml:space="preserve">many </w:t>
      </w:r>
      <w:r w:rsidRPr="006E723F">
        <w:t>teachers were unable to complete a Maths Trail. This will be prioritised in September.</w:t>
      </w:r>
    </w:p>
    <w:p w:rsidR="00DE53E4" w:rsidRPr="006E723F" w:rsidRDefault="00DE53E4" w:rsidP="00DE53E4"/>
    <w:p w:rsidR="00DE53E4" w:rsidRPr="006E723F" w:rsidRDefault="006E723F" w:rsidP="00DE53E4">
      <w:pPr>
        <w:rPr>
          <w:color w:val="0070C0"/>
        </w:rPr>
      </w:pPr>
      <w:r>
        <w:rPr>
          <w:color w:val="0070C0"/>
        </w:rPr>
        <w:t xml:space="preserve">6. </w:t>
      </w:r>
      <w:r w:rsidR="00DE53E4" w:rsidRPr="006E723F">
        <w:rPr>
          <w:color w:val="0070C0"/>
        </w:rPr>
        <w:t>Legislative Requirements</w:t>
      </w:r>
    </w:p>
    <w:p w:rsidR="00B217D5" w:rsidRPr="006E723F" w:rsidRDefault="00B217D5" w:rsidP="00DE53E4">
      <w:pPr>
        <w:spacing w:after="0" w:line="240" w:lineRule="auto"/>
      </w:pPr>
      <w:r w:rsidRPr="006E723F">
        <w:t xml:space="preserve">4.3 The following legislative and regulatory requirements need to be addressed: See attached appendix. </w:t>
      </w:r>
    </w:p>
    <w:p w:rsidR="00B217D5" w:rsidRPr="006E723F" w:rsidRDefault="00B217D5" w:rsidP="00DE53E4">
      <w:pPr>
        <w:spacing w:after="0" w:line="240" w:lineRule="auto"/>
      </w:pPr>
      <w:r w:rsidRPr="006E723F">
        <w:t xml:space="preserve">Presented to Board of Management: </w:t>
      </w:r>
    </w:p>
    <w:p w:rsidR="00B217D5" w:rsidRPr="006E723F" w:rsidRDefault="00B217D5" w:rsidP="00DE53E4">
      <w:pPr>
        <w:spacing w:after="0" w:line="240" w:lineRule="auto"/>
      </w:pPr>
      <w:r w:rsidRPr="006E723F">
        <w:t xml:space="preserve">Date: _________________________ </w:t>
      </w:r>
    </w:p>
    <w:p w:rsidR="00DE53E4" w:rsidRPr="006E723F" w:rsidRDefault="00B217D5" w:rsidP="00DE53E4">
      <w:pPr>
        <w:spacing w:after="0" w:line="240" w:lineRule="auto"/>
      </w:pPr>
      <w:r w:rsidRPr="006E723F">
        <w:t>Signed: ________________________________________ (Chairperson of BOM)</w:t>
      </w:r>
    </w:p>
    <w:p w:rsidR="00B217D5" w:rsidRDefault="00B217D5" w:rsidP="00DE53E4">
      <w:pPr>
        <w:spacing w:after="0" w:line="240" w:lineRule="auto"/>
      </w:pPr>
    </w:p>
    <w:p w:rsidR="00B217D5" w:rsidRDefault="00B217D5" w:rsidP="00DE53E4">
      <w:pPr>
        <w:spacing w:after="0" w:line="240" w:lineRule="auto"/>
      </w:pPr>
    </w:p>
    <w:p w:rsidR="00B217D5" w:rsidRDefault="00B217D5">
      <w:r>
        <w:br w:type="page"/>
      </w:r>
    </w:p>
    <w:p w:rsidR="00B217D5" w:rsidRPr="00DE53E4" w:rsidRDefault="00B217D5" w:rsidP="00DE53E4">
      <w:pPr>
        <w:spacing w:after="0" w:line="240" w:lineRule="auto"/>
        <w:rPr>
          <w:rFonts w:ascii="Arial Narrow" w:hAnsi="Arial Narrow"/>
        </w:rPr>
      </w:pPr>
    </w:p>
    <w:p w:rsidR="00DE53E4" w:rsidRPr="00DE53E4" w:rsidRDefault="00DE53E4" w:rsidP="00DE53E4">
      <w:pPr>
        <w:spacing w:after="0" w:line="240" w:lineRule="auto"/>
        <w:rPr>
          <w:rFonts w:ascii="Arial Narrow" w:hAnsi="Arial Narrow"/>
        </w:rPr>
      </w:pPr>
    </w:p>
    <w:p w:rsidR="00DE53E4" w:rsidRPr="00DE53E4" w:rsidRDefault="00DE53E4" w:rsidP="00DE53E4">
      <w:pPr>
        <w:spacing w:after="0" w:line="240" w:lineRule="auto"/>
        <w:rPr>
          <w:rFonts w:ascii="Arial Narrow" w:hAnsi="Arial Narrow"/>
        </w:rPr>
      </w:pPr>
    </w:p>
    <w:p w:rsidR="00DE53E4" w:rsidRPr="00DE53E4" w:rsidRDefault="00DE53E4" w:rsidP="00DE53E4">
      <w:pPr>
        <w:spacing w:after="0" w:line="240" w:lineRule="auto"/>
        <w:rPr>
          <w:rFonts w:ascii="Arial Narrow" w:hAnsi="Arial Narrow"/>
          <w:b/>
          <w:u w:val="single"/>
        </w:rPr>
      </w:pPr>
    </w:p>
    <w:p w:rsidR="00DE53E4" w:rsidRPr="00DE53E4" w:rsidRDefault="00DE53E4" w:rsidP="00DE53E4">
      <w:pPr>
        <w:spacing w:after="0" w:line="240" w:lineRule="auto"/>
        <w:rPr>
          <w:rFonts w:ascii="Arial Narrow" w:hAnsi="Arial Narrow"/>
        </w:rPr>
      </w:pPr>
    </w:p>
    <w:p w:rsidR="00634C77" w:rsidRPr="00634C77" w:rsidRDefault="00DE53E4" w:rsidP="00A8055F">
      <w:r>
        <w:t xml:space="preserve"> </w:t>
      </w:r>
    </w:p>
    <w:sectPr w:rsidR="00634C77" w:rsidRPr="00634C77" w:rsidSect="00827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AD" w:rsidRDefault="00884FAD" w:rsidP="007C4E28">
      <w:pPr>
        <w:spacing w:after="0" w:line="240" w:lineRule="auto"/>
      </w:pPr>
      <w:r>
        <w:separator/>
      </w:r>
    </w:p>
  </w:endnote>
  <w:endnote w:type="continuationSeparator" w:id="0">
    <w:p w:rsidR="00884FAD" w:rsidRDefault="00884FAD" w:rsidP="007C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AD" w:rsidRDefault="00884FAD" w:rsidP="007C4E28">
      <w:pPr>
        <w:spacing w:after="0" w:line="240" w:lineRule="auto"/>
      </w:pPr>
      <w:r>
        <w:separator/>
      </w:r>
    </w:p>
  </w:footnote>
  <w:footnote w:type="continuationSeparator" w:id="0">
    <w:p w:rsidR="00884FAD" w:rsidRDefault="00884FAD" w:rsidP="007C4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3394"/>
    <w:multiLevelType w:val="hybridMultilevel"/>
    <w:tmpl w:val="C2084D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976129"/>
    <w:multiLevelType w:val="hybridMultilevel"/>
    <w:tmpl w:val="DC761B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E3EC8"/>
    <w:multiLevelType w:val="hybridMultilevel"/>
    <w:tmpl w:val="9E325C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91551"/>
    <w:multiLevelType w:val="hybridMultilevel"/>
    <w:tmpl w:val="FCE45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55B42"/>
    <w:multiLevelType w:val="hybridMultilevel"/>
    <w:tmpl w:val="61BE1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360A9"/>
    <w:multiLevelType w:val="multilevel"/>
    <w:tmpl w:val="BA2E0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F835452"/>
    <w:multiLevelType w:val="hybridMultilevel"/>
    <w:tmpl w:val="5F745BB2"/>
    <w:lvl w:ilvl="0" w:tplc="38BAAC66">
      <w:start w:val="2014"/>
      <w:numFmt w:val="decimal"/>
      <w:lvlText w:val="(%1"/>
      <w:lvlJc w:val="left"/>
      <w:pPr>
        <w:ind w:left="649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80" w:hanging="360"/>
      </w:pPr>
    </w:lvl>
    <w:lvl w:ilvl="2" w:tplc="0809001B" w:tentative="1">
      <w:start w:val="1"/>
      <w:numFmt w:val="lowerRoman"/>
      <w:lvlText w:val="%3."/>
      <w:lvlJc w:val="right"/>
      <w:pPr>
        <w:ind w:left="7800" w:hanging="180"/>
      </w:pPr>
    </w:lvl>
    <w:lvl w:ilvl="3" w:tplc="0809000F" w:tentative="1">
      <w:start w:val="1"/>
      <w:numFmt w:val="decimal"/>
      <w:lvlText w:val="%4."/>
      <w:lvlJc w:val="left"/>
      <w:pPr>
        <w:ind w:left="8520" w:hanging="360"/>
      </w:pPr>
    </w:lvl>
    <w:lvl w:ilvl="4" w:tplc="08090019" w:tentative="1">
      <w:start w:val="1"/>
      <w:numFmt w:val="lowerLetter"/>
      <w:lvlText w:val="%5."/>
      <w:lvlJc w:val="left"/>
      <w:pPr>
        <w:ind w:left="9240" w:hanging="360"/>
      </w:pPr>
    </w:lvl>
    <w:lvl w:ilvl="5" w:tplc="0809001B" w:tentative="1">
      <w:start w:val="1"/>
      <w:numFmt w:val="lowerRoman"/>
      <w:lvlText w:val="%6."/>
      <w:lvlJc w:val="right"/>
      <w:pPr>
        <w:ind w:left="9960" w:hanging="180"/>
      </w:pPr>
    </w:lvl>
    <w:lvl w:ilvl="6" w:tplc="0809000F" w:tentative="1">
      <w:start w:val="1"/>
      <w:numFmt w:val="decimal"/>
      <w:lvlText w:val="%7."/>
      <w:lvlJc w:val="left"/>
      <w:pPr>
        <w:ind w:left="10680" w:hanging="360"/>
      </w:pPr>
    </w:lvl>
    <w:lvl w:ilvl="7" w:tplc="08090019" w:tentative="1">
      <w:start w:val="1"/>
      <w:numFmt w:val="lowerLetter"/>
      <w:lvlText w:val="%8."/>
      <w:lvlJc w:val="left"/>
      <w:pPr>
        <w:ind w:left="11400" w:hanging="360"/>
      </w:pPr>
    </w:lvl>
    <w:lvl w:ilvl="8" w:tplc="0809001B" w:tentative="1">
      <w:start w:val="1"/>
      <w:numFmt w:val="lowerRoman"/>
      <w:lvlText w:val="%9."/>
      <w:lvlJc w:val="right"/>
      <w:pPr>
        <w:ind w:left="12120" w:hanging="180"/>
      </w:pPr>
    </w:lvl>
  </w:abstractNum>
  <w:abstractNum w:abstractNumId="7">
    <w:nsid w:val="4BD9086B"/>
    <w:multiLevelType w:val="hybridMultilevel"/>
    <w:tmpl w:val="F7284E22"/>
    <w:lvl w:ilvl="0" w:tplc="E7E02DC2">
      <w:start w:val="2014"/>
      <w:numFmt w:val="decimal"/>
      <w:lvlText w:val="(%1"/>
      <w:lvlJc w:val="left"/>
      <w:pPr>
        <w:ind w:left="646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50" w:hanging="360"/>
      </w:pPr>
    </w:lvl>
    <w:lvl w:ilvl="2" w:tplc="0809001B" w:tentative="1">
      <w:start w:val="1"/>
      <w:numFmt w:val="lowerRoman"/>
      <w:lvlText w:val="%3."/>
      <w:lvlJc w:val="right"/>
      <w:pPr>
        <w:ind w:left="7770" w:hanging="180"/>
      </w:pPr>
    </w:lvl>
    <w:lvl w:ilvl="3" w:tplc="0809000F" w:tentative="1">
      <w:start w:val="1"/>
      <w:numFmt w:val="decimal"/>
      <w:lvlText w:val="%4."/>
      <w:lvlJc w:val="left"/>
      <w:pPr>
        <w:ind w:left="8490" w:hanging="360"/>
      </w:pPr>
    </w:lvl>
    <w:lvl w:ilvl="4" w:tplc="08090019" w:tentative="1">
      <w:start w:val="1"/>
      <w:numFmt w:val="lowerLetter"/>
      <w:lvlText w:val="%5."/>
      <w:lvlJc w:val="left"/>
      <w:pPr>
        <w:ind w:left="9210" w:hanging="360"/>
      </w:pPr>
    </w:lvl>
    <w:lvl w:ilvl="5" w:tplc="0809001B" w:tentative="1">
      <w:start w:val="1"/>
      <w:numFmt w:val="lowerRoman"/>
      <w:lvlText w:val="%6."/>
      <w:lvlJc w:val="right"/>
      <w:pPr>
        <w:ind w:left="9930" w:hanging="180"/>
      </w:pPr>
    </w:lvl>
    <w:lvl w:ilvl="6" w:tplc="0809000F" w:tentative="1">
      <w:start w:val="1"/>
      <w:numFmt w:val="decimal"/>
      <w:lvlText w:val="%7."/>
      <w:lvlJc w:val="left"/>
      <w:pPr>
        <w:ind w:left="10650" w:hanging="360"/>
      </w:pPr>
    </w:lvl>
    <w:lvl w:ilvl="7" w:tplc="08090019" w:tentative="1">
      <w:start w:val="1"/>
      <w:numFmt w:val="lowerLetter"/>
      <w:lvlText w:val="%8."/>
      <w:lvlJc w:val="left"/>
      <w:pPr>
        <w:ind w:left="11370" w:hanging="360"/>
      </w:pPr>
    </w:lvl>
    <w:lvl w:ilvl="8" w:tplc="0809001B" w:tentative="1">
      <w:start w:val="1"/>
      <w:numFmt w:val="lowerRoman"/>
      <w:lvlText w:val="%9."/>
      <w:lvlJc w:val="right"/>
      <w:pPr>
        <w:ind w:left="12090" w:hanging="180"/>
      </w:pPr>
    </w:lvl>
  </w:abstractNum>
  <w:abstractNum w:abstractNumId="8">
    <w:nsid w:val="5409335E"/>
    <w:multiLevelType w:val="hybridMultilevel"/>
    <w:tmpl w:val="5680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C18DA"/>
    <w:multiLevelType w:val="hybridMultilevel"/>
    <w:tmpl w:val="2AB6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A09E7"/>
    <w:multiLevelType w:val="hybridMultilevel"/>
    <w:tmpl w:val="9200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B63A4"/>
    <w:multiLevelType w:val="multilevel"/>
    <w:tmpl w:val="5C94F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7B0B33D4"/>
    <w:multiLevelType w:val="hybridMultilevel"/>
    <w:tmpl w:val="1C123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77"/>
    <w:rsid w:val="00161059"/>
    <w:rsid w:val="00594655"/>
    <w:rsid w:val="00634C77"/>
    <w:rsid w:val="006C48D9"/>
    <w:rsid w:val="006D498C"/>
    <w:rsid w:val="006E723F"/>
    <w:rsid w:val="00797A8E"/>
    <w:rsid w:val="007C1440"/>
    <w:rsid w:val="007C4E28"/>
    <w:rsid w:val="007D1A22"/>
    <w:rsid w:val="00827B33"/>
    <w:rsid w:val="00884FAD"/>
    <w:rsid w:val="00900DC0"/>
    <w:rsid w:val="00956C5F"/>
    <w:rsid w:val="00A8055F"/>
    <w:rsid w:val="00AA0DBE"/>
    <w:rsid w:val="00B217D5"/>
    <w:rsid w:val="00C15FCA"/>
    <w:rsid w:val="00DD6E40"/>
    <w:rsid w:val="00DE53E4"/>
    <w:rsid w:val="00F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C77"/>
    <w:pPr>
      <w:ind w:left="720"/>
      <w:contextualSpacing/>
    </w:pPr>
  </w:style>
  <w:style w:type="table" w:styleId="TableGrid">
    <w:name w:val="Table Grid"/>
    <w:basedOn w:val="TableNormal"/>
    <w:uiPriority w:val="59"/>
    <w:rsid w:val="0063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4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E28"/>
  </w:style>
  <w:style w:type="paragraph" w:styleId="Footer">
    <w:name w:val="footer"/>
    <w:basedOn w:val="Normal"/>
    <w:link w:val="FooterChar"/>
    <w:uiPriority w:val="99"/>
    <w:semiHidden/>
    <w:unhideWhenUsed/>
    <w:rsid w:val="007C4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C77"/>
    <w:pPr>
      <w:ind w:left="720"/>
      <w:contextualSpacing/>
    </w:pPr>
  </w:style>
  <w:style w:type="table" w:styleId="TableGrid">
    <w:name w:val="Table Grid"/>
    <w:basedOn w:val="TableNormal"/>
    <w:uiPriority w:val="59"/>
    <w:rsid w:val="0063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4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E28"/>
  </w:style>
  <w:style w:type="paragraph" w:styleId="Footer">
    <w:name w:val="footer"/>
    <w:basedOn w:val="Normal"/>
    <w:link w:val="FooterChar"/>
    <w:uiPriority w:val="99"/>
    <w:semiHidden/>
    <w:unhideWhenUsed/>
    <w:rsid w:val="007C4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Callinan</dc:creator>
  <cp:lastModifiedBy>PC User</cp:lastModifiedBy>
  <cp:revision>2</cp:revision>
  <cp:lastPrinted>2015-06-19T13:16:00Z</cp:lastPrinted>
  <dcterms:created xsi:type="dcterms:W3CDTF">2015-09-08T11:49:00Z</dcterms:created>
  <dcterms:modified xsi:type="dcterms:W3CDTF">2015-09-08T11:49:00Z</dcterms:modified>
</cp:coreProperties>
</file>